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宋体" w:hAnsi="宋体" w:eastAsia="宋体" w:cs="宋体"/>
          <w:i w:val="0"/>
          <w:iCs w:val="0"/>
          <w:caps w:val="0"/>
          <w:color w:val="000000"/>
          <w:spacing w:val="0"/>
          <w:sz w:val="36"/>
          <w:szCs w:val="36"/>
          <w:shd w:val="clear" w:fill="FFFFFF"/>
        </w:rPr>
      </w:pPr>
      <w:r>
        <w:rPr>
          <w:rStyle w:val="5"/>
          <w:rFonts w:hint="eastAsia" w:ascii="宋体" w:hAnsi="宋体" w:eastAsia="宋体" w:cs="宋体"/>
          <w:i w:val="0"/>
          <w:iCs w:val="0"/>
          <w:caps w:val="0"/>
          <w:color w:val="000000"/>
          <w:spacing w:val="0"/>
          <w:sz w:val="36"/>
          <w:szCs w:val="36"/>
          <w:shd w:val="clear" w:fill="FFFFFF"/>
        </w:rPr>
        <w:t>成人高等学历教育招生简章</w:t>
      </w:r>
    </w:p>
    <w:p>
      <w:pPr>
        <w:jc w:val="both"/>
        <w:rPr>
          <w:rStyle w:val="5"/>
          <w:rFonts w:hint="eastAsia" w:ascii="宋体" w:hAnsi="宋体" w:eastAsia="宋体" w:cs="宋体"/>
          <w:i w:val="0"/>
          <w:iCs w:val="0"/>
          <w:caps w:val="0"/>
          <w:color w:val="000000" w:themeColor="text1"/>
          <w:spacing w:val="0"/>
          <w:sz w:val="31"/>
          <w:szCs w:val="31"/>
          <w:u w:val="none"/>
          <w:shd w:val="clear" w:fill="FFFFFF"/>
          <w14:textFill>
            <w14:solidFill>
              <w14:schemeClr w14:val="tx1"/>
            </w14:solidFill>
          </w14:textFill>
        </w:rPr>
      </w:pPr>
      <w:r>
        <w:rPr>
          <w:rStyle w:val="5"/>
          <w:rFonts w:hint="eastAsia" w:ascii="宋体" w:hAnsi="宋体" w:eastAsia="宋体" w:cs="宋体"/>
          <w:i w:val="0"/>
          <w:iCs w:val="0"/>
          <w:caps w:val="0"/>
          <w:color w:val="000000" w:themeColor="text1"/>
          <w:spacing w:val="0"/>
          <w:sz w:val="31"/>
          <w:szCs w:val="31"/>
          <w:u w:val="none"/>
          <w:shd w:val="clear" w:fill="FFFFFF"/>
          <w14:textFill>
            <w14:solidFill>
              <w14:schemeClr w14:val="tx1"/>
            </w14:solidFill>
          </w14:textFill>
        </w:rPr>
        <w:t>学校概况</w:t>
      </w:r>
    </w:p>
    <w:p>
      <w:pPr>
        <w:pStyle w:val="2"/>
        <w:keepNext w:val="0"/>
        <w:keepLines w:val="0"/>
        <w:widowControl/>
        <w:suppressLineNumbers w:val="0"/>
        <w:shd w:val="clear" w:fill="FFFFFF"/>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学校本科成立于</w:t>
      </w:r>
      <w:r>
        <w:rPr>
          <w:rFonts w:hint="default" w:ascii="Times New Roman" w:hAnsi="Times New Roman" w:eastAsia="宋体" w:cs="Times New Roman"/>
          <w:i w:val="0"/>
          <w:iCs w:val="0"/>
          <w:caps w:val="0"/>
          <w:color w:val="000000"/>
          <w:spacing w:val="0"/>
          <w:sz w:val="24"/>
          <w:szCs w:val="24"/>
          <w:shd w:val="clear" w:fill="FFFFFF"/>
        </w:rPr>
        <w:t>1979</w:t>
      </w:r>
      <w:r>
        <w:rPr>
          <w:rFonts w:hint="eastAsia" w:ascii="宋体" w:hAnsi="宋体" w:eastAsia="宋体" w:cs="宋体"/>
          <w:i w:val="0"/>
          <w:iCs w:val="0"/>
          <w:caps w:val="0"/>
          <w:color w:val="000000"/>
          <w:spacing w:val="0"/>
          <w:sz w:val="24"/>
          <w:szCs w:val="24"/>
          <w:shd w:val="clear" w:fill="FFFFFF"/>
        </w:rPr>
        <w:t>年，坐落在吉林省省会长春市，是国务院批准成立的全国第一所专门为职业教育培养培训专业课师资的全日制本科师范院校，是目前东北三省和内蒙古地区唯一一所独立设置的全日制本科职业师范院校，是教育部确定的全国重点建设职业教育师资培训基地，是吉林省地方本科高校转型发展试点牵头学校，被誉为职业教育师资的摇篮。</w:t>
      </w:r>
    </w:p>
    <w:p>
      <w:pPr>
        <w:pStyle w:val="2"/>
        <w:keepNext w:val="0"/>
        <w:keepLines w:val="0"/>
        <w:widowControl/>
        <w:suppressLineNumbers w:val="0"/>
        <w:shd w:val="clear" w:fill="FFFFFF"/>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建校</w:t>
      </w:r>
      <w:r>
        <w:rPr>
          <w:rFonts w:hint="default" w:ascii="Times New Roman" w:hAnsi="Times New Roman" w:eastAsia="宋体" w:cs="Times New Roman"/>
          <w:i w:val="0"/>
          <w:iCs w:val="0"/>
          <w:caps w:val="0"/>
          <w:color w:val="000000"/>
          <w:spacing w:val="0"/>
          <w:sz w:val="24"/>
          <w:szCs w:val="24"/>
          <w:shd w:val="clear" w:fill="FFFFFF"/>
        </w:rPr>
        <w:t>40</w:t>
      </w:r>
      <w:r>
        <w:rPr>
          <w:rFonts w:hint="eastAsia" w:ascii="宋体" w:hAnsi="宋体" w:eastAsia="宋体" w:cs="宋体"/>
          <w:i w:val="0"/>
          <w:iCs w:val="0"/>
          <w:caps w:val="0"/>
          <w:color w:val="000000"/>
          <w:spacing w:val="0"/>
          <w:sz w:val="24"/>
          <w:szCs w:val="24"/>
          <w:shd w:val="clear" w:fill="FFFFFF"/>
        </w:rPr>
        <w:t>年来，学校高举为职教服务的大旗不动摇，在特色发展中凸显职教母机功能。学校现有在校生</w:t>
      </w:r>
      <w:r>
        <w:rPr>
          <w:rFonts w:hint="default" w:ascii="Times New Roman" w:hAnsi="Times New Roman" w:eastAsia="宋体" w:cs="Times New Roman"/>
          <w:i w:val="0"/>
          <w:iCs w:val="0"/>
          <w:caps w:val="0"/>
          <w:color w:val="000000"/>
          <w:spacing w:val="0"/>
          <w:sz w:val="24"/>
          <w:szCs w:val="24"/>
          <w:shd w:val="clear" w:fill="FFFFFF"/>
        </w:rPr>
        <w:t>12384</w:t>
      </w:r>
      <w:r>
        <w:rPr>
          <w:rFonts w:hint="eastAsia" w:ascii="宋体" w:hAnsi="宋体" w:eastAsia="宋体" w:cs="宋体"/>
          <w:i w:val="0"/>
          <w:iCs w:val="0"/>
          <w:caps w:val="0"/>
          <w:color w:val="000000"/>
          <w:spacing w:val="0"/>
          <w:sz w:val="24"/>
          <w:szCs w:val="24"/>
          <w:shd w:val="clear" w:fill="FFFFFF"/>
        </w:rPr>
        <w:t>人，教职工</w:t>
      </w:r>
      <w:r>
        <w:rPr>
          <w:rFonts w:hint="default" w:ascii="Times New Roman" w:hAnsi="Times New Roman" w:eastAsia="宋体" w:cs="Times New Roman"/>
          <w:i w:val="0"/>
          <w:iCs w:val="0"/>
          <w:caps w:val="0"/>
          <w:color w:val="000000"/>
          <w:spacing w:val="0"/>
          <w:sz w:val="24"/>
          <w:szCs w:val="24"/>
          <w:shd w:val="clear" w:fill="FFFFFF"/>
        </w:rPr>
        <w:t>958</w:t>
      </w:r>
      <w:r>
        <w:rPr>
          <w:rFonts w:hint="eastAsia" w:ascii="宋体" w:hAnsi="宋体" w:eastAsia="宋体" w:cs="宋体"/>
          <w:i w:val="0"/>
          <w:iCs w:val="0"/>
          <w:caps w:val="0"/>
          <w:color w:val="000000"/>
          <w:spacing w:val="0"/>
          <w:sz w:val="24"/>
          <w:szCs w:val="24"/>
          <w:shd w:val="clear" w:fill="FFFFFF"/>
        </w:rPr>
        <w:t>人，设有信息工程学院、机械工程学院等</w:t>
      </w:r>
      <w:r>
        <w:rPr>
          <w:rFonts w:hint="default" w:ascii="Times New Roman" w:hAnsi="Times New Roman" w:eastAsia="宋体" w:cs="Times New Roman"/>
          <w:i w:val="0"/>
          <w:iCs w:val="0"/>
          <w:caps w:val="0"/>
          <w:color w:val="000000"/>
          <w:spacing w:val="0"/>
          <w:sz w:val="24"/>
          <w:szCs w:val="24"/>
          <w:shd w:val="clear" w:fill="FFFFFF"/>
        </w:rPr>
        <w:t>16</w:t>
      </w:r>
      <w:r>
        <w:rPr>
          <w:rFonts w:hint="eastAsia" w:ascii="宋体" w:hAnsi="宋体" w:eastAsia="宋体" w:cs="宋体"/>
          <w:i w:val="0"/>
          <w:iCs w:val="0"/>
          <w:caps w:val="0"/>
          <w:color w:val="000000"/>
          <w:spacing w:val="0"/>
          <w:sz w:val="24"/>
          <w:szCs w:val="24"/>
          <w:shd w:val="clear" w:fill="FFFFFF"/>
        </w:rPr>
        <w:t>个学院，</w:t>
      </w:r>
      <w:r>
        <w:rPr>
          <w:rFonts w:hint="default" w:ascii="Times New Roman" w:hAnsi="Times New Roman" w:eastAsia="宋体" w:cs="Times New Roman"/>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rPr>
        <w:t>个教研部，</w:t>
      </w:r>
      <w:r>
        <w:rPr>
          <w:rFonts w:hint="default" w:ascii="Times New Roman" w:hAnsi="Times New Roman" w:eastAsia="宋体" w:cs="Times New Roman"/>
          <w:i w:val="0"/>
          <w:iCs w:val="0"/>
          <w:caps w:val="0"/>
          <w:color w:val="000000"/>
          <w:spacing w:val="0"/>
          <w:sz w:val="24"/>
          <w:szCs w:val="24"/>
          <w:shd w:val="clear" w:fill="FFFFFF"/>
        </w:rPr>
        <w:t>16</w:t>
      </w:r>
      <w:r>
        <w:rPr>
          <w:rFonts w:hint="eastAsia" w:ascii="宋体" w:hAnsi="宋体" w:eastAsia="宋体" w:cs="宋体"/>
          <w:i w:val="0"/>
          <w:iCs w:val="0"/>
          <w:caps w:val="0"/>
          <w:color w:val="000000"/>
          <w:spacing w:val="0"/>
          <w:sz w:val="24"/>
          <w:szCs w:val="24"/>
          <w:shd w:val="clear" w:fill="FFFFFF"/>
        </w:rPr>
        <w:t>科研中心，</w:t>
      </w:r>
      <w:r>
        <w:rPr>
          <w:rFonts w:hint="default" w:ascii="Times New Roman" w:hAnsi="Times New Roman" w:eastAsia="宋体" w:cs="Times New Roman"/>
          <w:i w:val="0"/>
          <w:iCs w:val="0"/>
          <w:caps w:val="0"/>
          <w:color w:val="000000"/>
          <w:spacing w:val="0"/>
          <w:sz w:val="24"/>
          <w:szCs w:val="24"/>
          <w:shd w:val="clear" w:fill="FFFFFF"/>
        </w:rPr>
        <w:t>48</w:t>
      </w:r>
      <w:r>
        <w:rPr>
          <w:rFonts w:hint="eastAsia" w:ascii="宋体" w:hAnsi="宋体" w:eastAsia="宋体" w:cs="宋体"/>
          <w:i w:val="0"/>
          <w:iCs w:val="0"/>
          <w:caps w:val="0"/>
          <w:color w:val="000000"/>
          <w:spacing w:val="0"/>
          <w:sz w:val="24"/>
          <w:szCs w:val="24"/>
          <w:shd w:val="clear" w:fill="FFFFFF"/>
        </w:rPr>
        <w:t>个本科专业，</w:t>
      </w:r>
      <w:r>
        <w:rPr>
          <w:rFonts w:hint="default" w:ascii="Times New Roman" w:hAnsi="Times New Roman" w:eastAsia="宋体" w:cs="Times New Roman"/>
          <w:i w:val="0"/>
          <w:iCs w:val="0"/>
          <w:caps w:val="0"/>
          <w:color w:val="000000"/>
          <w:spacing w:val="0"/>
          <w:sz w:val="24"/>
          <w:szCs w:val="24"/>
          <w:shd w:val="clear" w:fill="FFFFFF"/>
        </w:rPr>
        <w:t>11</w:t>
      </w:r>
      <w:r>
        <w:rPr>
          <w:rFonts w:hint="eastAsia" w:ascii="宋体" w:hAnsi="宋体" w:eastAsia="宋体" w:cs="宋体"/>
          <w:i w:val="0"/>
          <w:iCs w:val="0"/>
          <w:caps w:val="0"/>
          <w:color w:val="000000"/>
          <w:spacing w:val="0"/>
          <w:sz w:val="24"/>
          <w:szCs w:val="24"/>
          <w:shd w:val="clear" w:fill="FFFFFF"/>
        </w:rPr>
        <w:t>个高职高专专业。毕业生社会认可程度高，本科毕业生一次就业率长期保持在</w:t>
      </w:r>
      <w:r>
        <w:rPr>
          <w:rFonts w:hint="default" w:ascii="Times New Roman" w:hAnsi="Times New Roman" w:eastAsia="宋体" w:cs="Times New Roman"/>
          <w:i w:val="0"/>
          <w:iCs w:val="0"/>
          <w:caps w:val="0"/>
          <w:color w:val="000000"/>
          <w:spacing w:val="0"/>
          <w:sz w:val="24"/>
          <w:szCs w:val="24"/>
          <w:shd w:val="clear" w:fill="FFFFFF"/>
        </w:rPr>
        <w:t>90%</w:t>
      </w:r>
      <w:r>
        <w:rPr>
          <w:rFonts w:hint="eastAsia" w:ascii="宋体" w:hAnsi="宋体" w:eastAsia="宋体" w:cs="宋体"/>
          <w:i w:val="0"/>
          <w:iCs w:val="0"/>
          <w:caps w:val="0"/>
          <w:color w:val="000000"/>
          <w:spacing w:val="0"/>
          <w:sz w:val="24"/>
          <w:szCs w:val="24"/>
          <w:shd w:val="clear" w:fill="FFFFFF"/>
        </w:rPr>
        <w:t>以上。已有近</w:t>
      </w:r>
      <w:r>
        <w:rPr>
          <w:rFonts w:hint="default" w:ascii="Times New Roman" w:hAnsi="Times New Roman" w:eastAsia="宋体" w:cs="Times New Roman"/>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rPr>
        <w:t>万名毕业生从学校走向四面八方，成为国家现代化建设的有用之才。在吉林省职业院校专业课教师中，我校毕业生占</w:t>
      </w:r>
      <w:r>
        <w:rPr>
          <w:rFonts w:hint="default" w:ascii="Times New Roman" w:hAnsi="Times New Roman" w:eastAsia="宋体" w:cs="Times New Roman"/>
          <w:i w:val="0"/>
          <w:iCs w:val="0"/>
          <w:caps w:val="0"/>
          <w:color w:val="000000"/>
          <w:spacing w:val="0"/>
          <w:sz w:val="24"/>
          <w:szCs w:val="24"/>
          <w:shd w:val="clear" w:fill="FFFFFF"/>
        </w:rPr>
        <w:t>75%</w:t>
      </w:r>
      <w:r>
        <w:rPr>
          <w:rFonts w:hint="eastAsia" w:ascii="宋体" w:hAnsi="宋体" w:eastAsia="宋体" w:cs="宋体"/>
          <w:i w:val="0"/>
          <w:iCs w:val="0"/>
          <w:caps w:val="0"/>
          <w:color w:val="000000"/>
          <w:spacing w:val="0"/>
          <w:sz w:val="24"/>
          <w:szCs w:val="24"/>
          <w:shd w:val="clear" w:fill="FFFFFF"/>
        </w:rPr>
        <w:t>以上。</w:t>
      </w:r>
    </w:p>
    <w:p>
      <w:pPr>
        <w:jc w:val="both"/>
        <w:rPr>
          <w:rStyle w:val="5"/>
          <w:rFonts w:hint="eastAsia" w:ascii="宋体" w:hAnsi="宋体" w:eastAsia="宋体" w:cs="宋体"/>
          <w:i w:val="0"/>
          <w:iCs w:val="0"/>
          <w:caps w:val="0"/>
          <w:color w:val="000000" w:themeColor="text1"/>
          <w:spacing w:val="0"/>
          <w:sz w:val="31"/>
          <w:szCs w:val="31"/>
          <w:u w:val="none"/>
          <w:shd w:val="clear" w:fill="FFFFFF"/>
          <w14:textFill>
            <w14:solidFill>
              <w14:schemeClr w14:val="tx1"/>
            </w14:solidFill>
          </w14:textFill>
        </w:rPr>
      </w:pPr>
      <w:r>
        <w:rPr>
          <w:rStyle w:val="5"/>
          <w:rFonts w:hint="eastAsia" w:ascii="宋体" w:hAnsi="宋体" w:eastAsia="宋体" w:cs="宋体"/>
          <w:i w:val="0"/>
          <w:iCs w:val="0"/>
          <w:caps w:val="0"/>
          <w:color w:val="000000" w:themeColor="text1"/>
          <w:spacing w:val="0"/>
          <w:sz w:val="31"/>
          <w:szCs w:val="31"/>
          <w:u w:val="none"/>
          <w:shd w:val="clear" w:fill="FFFFFF"/>
          <w14:textFill>
            <w14:solidFill>
              <w14:schemeClr w14:val="tx1"/>
            </w14:solidFill>
          </w14:textFill>
        </w:rPr>
        <w:t>成人学历教育</w:t>
      </w:r>
    </w:p>
    <w:p>
      <w:pPr>
        <w:pStyle w:val="2"/>
        <w:keepNext w:val="0"/>
        <w:keepLines w:val="0"/>
        <w:widowControl/>
        <w:suppressLineNumbers w:val="0"/>
        <w:shd w:val="clear" w:fill="FFFFFF"/>
        <w:ind w:left="0" w:firstLine="4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成人学历教育是国家为了建立学习型社会、提高全民科学文化素质、增强综合国力而建立的学历教育体系，是国民教育体系的重要组成部分。成人高等学历教育的招生对象主要是在职从业人员、应往届高中（中专）毕业生、应往届大专毕业生等。考生需参加全国统一招生入学考试，达到统一划定的录取线，并取得入学资格，学员完成教学计划规定的课程，成绩合格后，由高等学校颁发国家承认学历的、在教育部网上注册的大专、本科毕业证，享有高等学历教育毕业生同等的国民教育待遇。</w:t>
      </w:r>
    </w:p>
    <w:p>
      <w:pPr>
        <w:pStyle w:val="2"/>
        <w:keepNext w:val="0"/>
        <w:keepLines w:val="0"/>
        <w:widowControl/>
        <w:suppressLineNumbers w:val="0"/>
        <w:shd w:val="clear" w:fill="FFFFFF"/>
        <w:ind w:left="0" w:firstLine="480"/>
      </w:pPr>
      <w:r>
        <w:rPr>
          <w:rFonts w:hint="eastAsia" w:ascii="宋体" w:hAnsi="宋体" w:eastAsia="宋体" w:cs="宋体"/>
          <w:i w:val="0"/>
          <w:iCs w:val="0"/>
          <w:caps w:val="0"/>
          <w:color w:val="000000"/>
          <w:spacing w:val="0"/>
          <w:sz w:val="24"/>
          <w:szCs w:val="24"/>
          <w:shd w:val="clear" w:fill="FFFFFF"/>
        </w:rPr>
        <w:t>吉林工程技术师范学院成人高等学历教育有函授和业余</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种学习形式，有高起专、高起本和专升本</w:t>
      </w:r>
      <w:r>
        <w:rPr>
          <w:rFonts w:hint="default" w:ascii="Times New Roman" w:hAnsi="Times New Roman" w:eastAsia="宋体" w:cs="Times New Roman"/>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rPr>
        <w:t>个学历层次；专业设置有</w:t>
      </w:r>
      <w:r>
        <w:rPr>
          <w:rFonts w:hint="default" w:ascii="Times New Roman" w:hAnsi="Times New Roman" w:eastAsia="宋体" w:cs="Times New Roman"/>
          <w:i w:val="0"/>
          <w:iCs w:val="0"/>
          <w:caps w:val="0"/>
          <w:color w:val="000000"/>
          <w:spacing w:val="0"/>
          <w:sz w:val="24"/>
          <w:szCs w:val="24"/>
          <w:shd w:val="clear" w:fill="FFFFFF"/>
        </w:rPr>
        <w:t>14</w:t>
      </w:r>
      <w:r>
        <w:rPr>
          <w:rFonts w:hint="eastAsia" w:ascii="宋体" w:hAnsi="宋体" w:eastAsia="宋体" w:cs="宋体"/>
          <w:i w:val="0"/>
          <w:iCs w:val="0"/>
          <w:caps w:val="0"/>
          <w:color w:val="000000"/>
          <w:spacing w:val="0"/>
          <w:sz w:val="24"/>
          <w:szCs w:val="24"/>
          <w:shd w:val="clear" w:fill="FFFFFF"/>
        </w:rPr>
        <w:t>个专科专业，</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个高起本专业，</w:t>
      </w:r>
      <w:r>
        <w:rPr>
          <w:rFonts w:hint="default" w:ascii="Times New Roman" w:hAnsi="Times New Roman" w:eastAsia="宋体" w:cs="Times New Roman"/>
          <w:i w:val="0"/>
          <w:iCs w:val="0"/>
          <w:caps w:val="0"/>
          <w:color w:val="000000"/>
          <w:spacing w:val="0"/>
          <w:sz w:val="24"/>
          <w:szCs w:val="24"/>
          <w:shd w:val="clear" w:fill="FFFFFF"/>
        </w:rPr>
        <w:t>24</w:t>
      </w:r>
      <w:r>
        <w:rPr>
          <w:rFonts w:hint="eastAsia" w:ascii="宋体" w:hAnsi="宋体" w:eastAsia="宋体" w:cs="宋体"/>
          <w:i w:val="0"/>
          <w:iCs w:val="0"/>
          <w:caps w:val="0"/>
          <w:color w:val="000000"/>
          <w:spacing w:val="0"/>
          <w:sz w:val="24"/>
          <w:szCs w:val="24"/>
          <w:shd w:val="clear" w:fill="FFFFFF"/>
        </w:rPr>
        <w:t>个专升本专业，涵盖工、管、经、艺术、文、教育、理等</w:t>
      </w:r>
      <w:r>
        <w:rPr>
          <w:rFonts w:hint="default" w:ascii="Times New Roman" w:hAnsi="Times New Roman" w:eastAsia="宋体" w:cs="Times New Roman"/>
          <w:i w:val="0"/>
          <w:iCs w:val="0"/>
          <w:caps w:val="0"/>
          <w:color w:val="000000"/>
          <w:spacing w:val="0"/>
          <w:sz w:val="24"/>
          <w:szCs w:val="24"/>
          <w:shd w:val="clear" w:fill="FFFFFF"/>
        </w:rPr>
        <w:t>7</w:t>
      </w:r>
      <w:r>
        <w:rPr>
          <w:rFonts w:hint="eastAsia" w:ascii="宋体" w:hAnsi="宋体" w:eastAsia="宋体" w:cs="宋体"/>
          <w:i w:val="0"/>
          <w:iCs w:val="0"/>
          <w:caps w:val="0"/>
          <w:color w:val="000000"/>
          <w:spacing w:val="0"/>
          <w:sz w:val="24"/>
          <w:szCs w:val="24"/>
          <w:shd w:val="clear" w:fill="FFFFFF"/>
        </w:rPr>
        <w:t>个学科，专业结构合理；招生区域覆盖吉林、辽宁、浙江、海南、内蒙、山东、新疆等</w:t>
      </w:r>
      <w:r>
        <w:rPr>
          <w:rFonts w:hint="default" w:ascii="Times New Roman" w:hAnsi="Times New Roman" w:eastAsia="宋体" w:cs="Times New Roman"/>
          <w:i w:val="0"/>
          <w:iCs w:val="0"/>
          <w:caps w:val="0"/>
          <w:color w:val="000000"/>
          <w:spacing w:val="0"/>
          <w:sz w:val="24"/>
          <w:szCs w:val="24"/>
          <w:shd w:val="clear" w:fill="FFFFFF"/>
        </w:rPr>
        <w:t>7</w:t>
      </w:r>
      <w:r>
        <w:rPr>
          <w:rFonts w:hint="eastAsia" w:ascii="宋体" w:hAnsi="宋体" w:eastAsia="宋体" w:cs="宋体"/>
          <w:i w:val="0"/>
          <w:iCs w:val="0"/>
          <w:caps w:val="0"/>
          <w:color w:val="000000"/>
          <w:spacing w:val="0"/>
          <w:sz w:val="24"/>
          <w:szCs w:val="24"/>
          <w:shd w:val="clear" w:fill="FFFFFF"/>
        </w:rPr>
        <w:t>个省（自治区），招生规模突出，位于全省各高校成人招生前列。学校连续三年荣获东北内蒙古四省区“成人教育先进单位”荣誉称号；</w:t>
      </w:r>
      <w:r>
        <w:rPr>
          <w:rFonts w:hint="default" w:ascii="Times New Roman" w:hAnsi="Times New Roman" w:eastAsia="宋体" w:cs="Times New Roman"/>
          <w:i w:val="0"/>
          <w:iCs w:val="0"/>
          <w:caps w:val="0"/>
          <w:color w:val="000000"/>
          <w:spacing w:val="0"/>
          <w:sz w:val="24"/>
          <w:szCs w:val="24"/>
          <w:shd w:val="clear" w:fill="FFFFFF"/>
        </w:rPr>
        <w:t>2017</w:t>
      </w:r>
      <w:r>
        <w:rPr>
          <w:rFonts w:hint="eastAsia" w:ascii="宋体" w:hAnsi="宋体" w:eastAsia="宋体" w:cs="宋体"/>
          <w:i w:val="0"/>
          <w:iCs w:val="0"/>
          <w:caps w:val="0"/>
          <w:color w:val="000000"/>
          <w:spacing w:val="0"/>
          <w:sz w:val="24"/>
          <w:szCs w:val="24"/>
          <w:shd w:val="clear" w:fill="FFFFFF"/>
        </w:rPr>
        <w:t>年，被吉林省招生委员会和吉林省教育厅评为“</w:t>
      </w:r>
      <w:r>
        <w:rPr>
          <w:rFonts w:hint="default" w:ascii="Times New Roman" w:hAnsi="Times New Roman" w:eastAsia="宋体" w:cs="Times New Roman"/>
          <w:i w:val="0"/>
          <w:iCs w:val="0"/>
          <w:caps w:val="0"/>
          <w:color w:val="000000"/>
          <w:spacing w:val="0"/>
          <w:sz w:val="24"/>
          <w:szCs w:val="24"/>
          <w:shd w:val="clear" w:fill="FFFFFF"/>
        </w:rPr>
        <w:t>2016</w:t>
      </w:r>
      <w:r>
        <w:rPr>
          <w:rFonts w:hint="eastAsia" w:ascii="宋体" w:hAnsi="宋体" w:eastAsia="宋体" w:cs="宋体"/>
          <w:i w:val="0"/>
          <w:iCs w:val="0"/>
          <w:caps w:val="0"/>
          <w:color w:val="000000"/>
          <w:spacing w:val="0"/>
          <w:sz w:val="24"/>
          <w:szCs w:val="24"/>
          <w:shd w:val="clear" w:fill="FFFFFF"/>
        </w:rPr>
        <w:t>年度吉林省教育招生考试工作先进集体”，被中国成人教育协会评为“</w:t>
      </w:r>
      <w:r>
        <w:rPr>
          <w:rFonts w:hint="default" w:ascii="Times New Roman" w:hAnsi="Times New Roman" w:eastAsia="宋体" w:cs="Times New Roman"/>
          <w:i w:val="0"/>
          <w:iCs w:val="0"/>
          <w:caps w:val="0"/>
          <w:color w:val="000000"/>
          <w:spacing w:val="0"/>
          <w:sz w:val="24"/>
          <w:szCs w:val="24"/>
          <w:shd w:val="clear" w:fill="FFFFFF"/>
        </w:rPr>
        <w:t>2017</w:t>
      </w:r>
      <w:r>
        <w:rPr>
          <w:rFonts w:hint="eastAsia" w:ascii="宋体" w:hAnsi="宋体" w:eastAsia="宋体" w:cs="宋体"/>
          <w:i w:val="0"/>
          <w:iCs w:val="0"/>
          <w:caps w:val="0"/>
          <w:color w:val="000000"/>
          <w:spacing w:val="0"/>
          <w:sz w:val="24"/>
          <w:szCs w:val="24"/>
          <w:shd w:val="clear" w:fill="FFFFFF"/>
        </w:rPr>
        <w:t>年优秀成人继续教育院校（培训机构）”；</w:t>
      </w:r>
      <w:r>
        <w:rPr>
          <w:rFonts w:hint="default" w:ascii="Times New Roman" w:hAnsi="Times New Roman" w:eastAsia="宋体" w:cs="Times New Roman"/>
          <w:i w:val="0"/>
          <w:iCs w:val="0"/>
          <w:caps w:val="0"/>
          <w:color w:val="000000"/>
          <w:spacing w:val="0"/>
          <w:sz w:val="24"/>
          <w:szCs w:val="24"/>
          <w:shd w:val="clear" w:fill="FFFFFF"/>
        </w:rPr>
        <w:t>2018</w:t>
      </w:r>
      <w:r>
        <w:rPr>
          <w:rFonts w:hint="eastAsia" w:ascii="宋体" w:hAnsi="宋体" w:eastAsia="宋体" w:cs="宋体"/>
          <w:i w:val="0"/>
          <w:iCs w:val="0"/>
          <w:caps w:val="0"/>
          <w:color w:val="000000"/>
          <w:spacing w:val="0"/>
          <w:sz w:val="24"/>
          <w:szCs w:val="24"/>
          <w:shd w:val="clear" w:fill="FFFFFF"/>
        </w:rPr>
        <w:t>年获国家级教学成果奖二等奖</w:t>
      </w:r>
      <w:r>
        <w:rPr>
          <w:rFonts w:hint="default" w:ascii="Times New Roman" w:hAnsi="Times New Roman" w:eastAsia="宋体" w:cs="Times New Roman"/>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rPr>
        <w:t>项、省级教学成果奖一等奖</w:t>
      </w:r>
      <w:r>
        <w:rPr>
          <w:rFonts w:hint="default" w:ascii="Times New Roman" w:hAnsi="Times New Roman" w:eastAsia="宋体" w:cs="Times New Roman"/>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rPr>
        <w:t>项、三等奖</w:t>
      </w:r>
      <w:r>
        <w:rPr>
          <w:rFonts w:hint="default" w:ascii="Times New Roman" w:hAnsi="Times New Roman" w:eastAsia="宋体" w:cs="Times New Roman"/>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rPr>
        <w:t>项。</w:t>
      </w:r>
    </w:p>
    <w:p>
      <w:pPr>
        <w:pStyle w:val="2"/>
        <w:keepNext w:val="0"/>
        <w:keepLines w:val="0"/>
        <w:widowControl/>
        <w:suppressLineNumbers w:val="0"/>
        <w:ind w:left="720"/>
      </w:pPr>
      <w:r>
        <w:rPr>
          <w:rStyle w:val="5"/>
          <w:rFonts w:hint="eastAsia" w:ascii="宋体" w:hAnsi="宋体" w:eastAsia="宋体" w:cs="宋体"/>
          <w:i w:val="0"/>
          <w:iCs w:val="0"/>
          <w:caps w:val="0"/>
          <w:color w:val="000000"/>
          <w:spacing w:val="0"/>
          <w:sz w:val="24"/>
          <w:szCs w:val="24"/>
          <w:shd w:val="clear" w:fill="FFFFFF"/>
        </w:rPr>
        <w:t>招生范围</w:t>
      </w:r>
    </w:p>
    <w:p>
      <w:pPr>
        <w:pStyle w:val="2"/>
        <w:keepNext w:val="0"/>
        <w:keepLines w:val="0"/>
        <w:widowControl/>
        <w:suppressLineNumbers w:val="0"/>
        <w:ind w:left="720"/>
      </w:pPr>
      <w:r>
        <w:rPr>
          <w:rFonts w:hint="eastAsia" w:ascii="宋体" w:hAnsi="宋体" w:eastAsia="宋体" w:cs="宋体"/>
          <w:i w:val="0"/>
          <w:iCs w:val="0"/>
          <w:caps w:val="0"/>
          <w:color w:val="000000"/>
          <w:spacing w:val="0"/>
          <w:sz w:val="24"/>
          <w:szCs w:val="24"/>
          <w:shd w:val="clear" w:fill="FFFFFF"/>
        </w:rPr>
        <w:t>高起专、高起本招生：招收具有各类中专、职业高中、普通高中、技工学校的应往届毕业生、在职人员、从业人员和社会青年。</w:t>
      </w:r>
    </w:p>
    <w:p>
      <w:pPr>
        <w:pStyle w:val="2"/>
        <w:keepNext w:val="0"/>
        <w:keepLines w:val="0"/>
        <w:widowControl/>
        <w:suppressLineNumbers w:val="0"/>
        <w:ind w:left="720"/>
      </w:pPr>
      <w:r>
        <w:rPr>
          <w:rFonts w:hint="eastAsia" w:ascii="宋体" w:hAnsi="宋体" w:eastAsia="宋体" w:cs="宋体"/>
          <w:i w:val="0"/>
          <w:iCs w:val="0"/>
          <w:caps w:val="0"/>
          <w:color w:val="000000"/>
          <w:spacing w:val="0"/>
          <w:sz w:val="24"/>
          <w:szCs w:val="24"/>
          <w:shd w:val="clear" w:fill="FFFFFF"/>
        </w:rPr>
        <w:t>专升本招生：招收具有国民教育系列高等学校或高等教育自学考试机构颁发的大学专科毕业证书的应往届毕业生、在职人员和从业人员。</w:t>
      </w:r>
    </w:p>
    <w:p>
      <w:pPr>
        <w:pStyle w:val="2"/>
        <w:keepNext w:val="0"/>
        <w:keepLines w:val="0"/>
        <w:widowControl/>
        <w:suppressLineNumbers w:val="0"/>
        <w:ind w:left="720"/>
      </w:pPr>
      <w:r>
        <w:rPr>
          <w:rStyle w:val="5"/>
          <w:rFonts w:hint="eastAsia" w:ascii="宋体" w:hAnsi="宋体" w:eastAsia="宋体" w:cs="宋体"/>
          <w:i w:val="0"/>
          <w:iCs w:val="0"/>
          <w:caps w:val="0"/>
          <w:color w:val="000000"/>
          <w:spacing w:val="0"/>
          <w:sz w:val="24"/>
          <w:szCs w:val="24"/>
          <w:shd w:val="clear" w:fill="FFFFFF"/>
        </w:rPr>
        <w:t>报名时间</w:t>
      </w:r>
    </w:p>
    <w:p>
      <w:pPr>
        <w:pStyle w:val="2"/>
        <w:keepNext w:val="0"/>
        <w:keepLines w:val="0"/>
        <w:widowControl/>
        <w:suppressLineNumbers w:val="0"/>
        <w:ind w:left="720"/>
      </w:pPr>
      <w:r>
        <w:rPr>
          <w:rFonts w:hint="eastAsia" w:ascii="宋体" w:hAnsi="宋体" w:eastAsia="宋体" w:cs="宋体"/>
          <w:i w:val="0"/>
          <w:iCs w:val="0"/>
          <w:caps w:val="0"/>
          <w:color w:val="000000"/>
          <w:spacing w:val="0"/>
          <w:sz w:val="24"/>
          <w:szCs w:val="24"/>
          <w:shd w:val="clear" w:fill="FFFFFF"/>
        </w:rPr>
        <w:t>每年八月末九月初，具体时间以省教育考试院公布为准。</w:t>
      </w:r>
    </w:p>
    <w:p>
      <w:pPr>
        <w:keepNext w:val="0"/>
        <w:keepLines w:val="0"/>
        <w:widowControl/>
        <w:numPr>
          <w:numId w:val="0"/>
        </w:numPr>
        <w:suppressLineNumbers w:val="0"/>
        <w:spacing w:before="0" w:beforeAutospacing="1" w:after="0" w:afterAutospacing="1"/>
        <w:ind w:left="1800" w:leftChars="0"/>
      </w:pPr>
      <w:bookmarkStart w:id="0" w:name="_GoBack"/>
      <w:bookmarkEnd w:id="0"/>
    </w:p>
    <w:p>
      <w:pPr>
        <w:jc w:val="both"/>
        <w:rPr>
          <w:rStyle w:val="5"/>
          <w:rFonts w:hint="eastAsia" w:ascii="宋体" w:hAnsi="宋体" w:eastAsia="宋体" w:cs="宋体"/>
          <w:i w:val="0"/>
          <w:iCs w:val="0"/>
          <w:caps w:val="0"/>
          <w:color w:val="000000" w:themeColor="text1"/>
          <w:spacing w:val="0"/>
          <w:sz w:val="31"/>
          <w:szCs w:val="31"/>
          <w:u w:val="none"/>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2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2021-04-01T08:30:37Z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227329F9A66B45F5B100F5F7436EC0ED</vt:lpwstr>
  </property>
</Properties>
</file>